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78" w:rsidRPr="00656F78" w:rsidRDefault="00656F78" w:rsidP="00656F78">
      <w:pPr>
        <w:pStyle w:val="Heading2"/>
        <w:jc w:val="center"/>
        <w:rPr>
          <w:sz w:val="32"/>
          <w:szCs w:val="32"/>
        </w:rPr>
      </w:pPr>
      <w:r w:rsidRPr="00656F78">
        <w:rPr>
          <w:sz w:val="28"/>
          <w:szCs w:val="28"/>
        </w:rPr>
        <w:t xml:space="preserve">Monitorings par Eiropas Savienības Austrumu partnerību </w:t>
      </w:r>
      <w:r>
        <w:rPr>
          <w:sz w:val="28"/>
          <w:szCs w:val="28"/>
        </w:rPr>
        <w:br/>
      </w:r>
      <w:r w:rsidRPr="00656F78">
        <w:rPr>
          <w:sz w:val="28"/>
          <w:szCs w:val="28"/>
        </w:rPr>
        <w:br/>
      </w:r>
      <w:r w:rsidR="00F81DDD">
        <w:rPr>
          <w:sz w:val="32"/>
          <w:szCs w:val="32"/>
        </w:rPr>
        <w:t>Nr. 5</w:t>
      </w:r>
      <w:r w:rsidR="0067381B">
        <w:rPr>
          <w:sz w:val="32"/>
          <w:szCs w:val="32"/>
        </w:rPr>
        <w:t>/</w:t>
      </w:r>
      <w:r w:rsidR="00F81DDD">
        <w:rPr>
          <w:sz w:val="32"/>
          <w:szCs w:val="32"/>
        </w:rPr>
        <w:t>septembris - decembris</w:t>
      </w:r>
      <w:r w:rsidR="00520679">
        <w:rPr>
          <w:sz w:val="32"/>
          <w:szCs w:val="32"/>
        </w:rPr>
        <w:t xml:space="preserve"> 2014</w:t>
      </w:r>
      <w:r>
        <w:rPr>
          <w:sz w:val="32"/>
          <w:szCs w:val="32"/>
        </w:rPr>
        <w:br/>
      </w:r>
    </w:p>
    <w:p w:rsidR="006D3816" w:rsidRPr="006D3816" w:rsidRDefault="006D3816" w:rsidP="006D3816">
      <w:pPr>
        <w:jc w:val="center"/>
        <w:rPr>
          <w:rStyle w:val="SubtleEmphasis"/>
          <w:i w:val="0"/>
        </w:rPr>
      </w:pPr>
      <w:r w:rsidRPr="006D3816">
        <w:rPr>
          <w:rStyle w:val="SubtleEmphasis"/>
          <w:i w:val="0"/>
        </w:rPr>
        <w:t xml:space="preserve">Austrumeiropas politikas pētījumu centrs (APPC) piedāvā </w:t>
      </w:r>
      <w:r w:rsidR="00B077F3">
        <w:rPr>
          <w:rStyle w:val="SubtleEmphasis"/>
          <w:i w:val="0"/>
        </w:rPr>
        <w:t>piekto</w:t>
      </w:r>
      <w:r w:rsidRPr="006D3816">
        <w:rPr>
          <w:rStyle w:val="SubtleEmphasis"/>
          <w:i w:val="0"/>
        </w:rPr>
        <w:t xml:space="preserve"> monitoringu par Eiropas Savienības Austrumu partnerības (AP) tematiku. Tajā vēstīts par starptautiskām publikācijām, jaunākajiem notikumiem un pasākumiem</w:t>
      </w:r>
      <w:r w:rsidR="00E218D4">
        <w:rPr>
          <w:rStyle w:val="SubtleEmphasis"/>
          <w:i w:val="0"/>
        </w:rPr>
        <w:t xml:space="preserve">. </w:t>
      </w:r>
    </w:p>
    <w:p w:rsidR="00B077F3" w:rsidRPr="00A3659C" w:rsidRDefault="006D3816" w:rsidP="00A3659C">
      <w:pPr>
        <w:spacing w:before="120" w:after="120"/>
      </w:pPr>
      <w:r>
        <w:br/>
      </w:r>
      <w:r w:rsidR="000342FD" w:rsidRPr="000342FD">
        <w:rPr>
          <w:rStyle w:val="Heading2Char"/>
        </w:rPr>
        <w:t>Aizvadītā perioda apskats:</w:t>
      </w:r>
      <w:r w:rsidR="000342FD" w:rsidRPr="000342FD">
        <w:rPr>
          <w:rStyle w:val="Heading2Char"/>
        </w:rPr>
        <w:br/>
      </w:r>
      <w:r w:rsidR="009D3EAD">
        <w:br/>
      </w:r>
      <w:r w:rsidR="00B077F3" w:rsidRPr="00A3659C">
        <w:t>2014. gada rudens iezīmējās ar vairākām izmaiņām, kas skar Eiropas Savienības Austrumu partnerības politiku (turpmāk tekstā - AP). Izmaiņas notika</w:t>
      </w:r>
      <w:r w:rsidR="00A3659C" w:rsidRPr="00A3659C">
        <w:t xml:space="preserve"> </w:t>
      </w:r>
      <w:r w:rsidR="00B077F3" w:rsidRPr="00A3659C">
        <w:t>AP dalībvalstīs un to sadarbībā ar ES, gan arī ES iekšienē, nomainoties Eiropas Komisijai un citām ES augstākajām amatpersonām.</w:t>
      </w:r>
    </w:p>
    <w:p w:rsidR="00B077F3" w:rsidRDefault="00B077F3" w:rsidP="00B077F3">
      <w:pPr>
        <w:spacing w:before="120" w:after="120"/>
        <w:jc w:val="both"/>
      </w:pPr>
      <w:r>
        <w:t>Jau vasarā – 27.</w:t>
      </w:r>
      <w:r w:rsidR="00AA6207">
        <w:t xml:space="preserve"> </w:t>
      </w:r>
      <w:r>
        <w:t>jūnijā trīs AP dalībvalstis – Gruzija, Moldova un Ukraina – parakstīja Asociācijas līgumus ar Eiropas Savienību. Līgumi tika ratificēti šo valstu parlamentos un Eiropas Parlamentā. 1. septembrī oficiāli spēkā stājās Asociācijas līgumi ar Gruziju un Moldovu, bet līgums ar Ukrainu daļēji stājās spēkā, sākot ar 1. novembri.Papildus citiem sadarbības jautājumiem, Asociācijas līgumi starp ES un Gruziju, Moldovu un Ukrainu paredz izvedot padziļinātu un visaptverošu brīvās tirdzniecības zonu (</w:t>
      </w:r>
      <w:proofErr w:type="spellStart"/>
      <w:r w:rsidRPr="003B3653">
        <w:rPr>
          <w:i/>
        </w:rPr>
        <w:t>Deep</w:t>
      </w:r>
      <w:proofErr w:type="spellEnd"/>
      <w:r w:rsidR="00AA6207">
        <w:rPr>
          <w:i/>
        </w:rPr>
        <w:t xml:space="preserve"> </w:t>
      </w:r>
      <w:proofErr w:type="spellStart"/>
      <w:r w:rsidRPr="003B3653">
        <w:rPr>
          <w:i/>
        </w:rPr>
        <w:t>and</w:t>
      </w:r>
      <w:proofErr w:type="spellEnd"/>
      <w:r w:rsidR="00AA6207">
        <w:rPr>
          <w:i/>
        </w:rPr>
        <w:t xml:space="preserve"> </w:t>
      </w:r>
      <w:proofErr w:type="spellStart"/>
      <w:r w:rsidR="00AA6207">
        <w:rPr>
          <w:i/>
        </w:rPr>
        <w:t>Comprehensiv</w:t>
      </w:r>
      <w:r w:rsidRPr="003B3653">
        <w:rPr>
          <w:i/>
        </w:rPr>
        <w:t>e</w:t>
      </w:r>
      <w:proofErr w:type="spellEnd"/>
      <w:r w:rsidR="00AA6207">
        <w:rPr>
          <w:i/>
        </w:rPr>
        <w:t xml:space="preserve"> </w:t>
      </w:r>
      <w:proofErr w:type="spellStart"/>
      <w:r w:rsidRPr="003B3653">
        <w:rPr>
          <w:i/>
        </w:rPr>
        <w:t>Free</w:t>
      </w:r>
      <w:proofErr w:type="spellEnd"/>
      <w:r w:rsidR="00AA6207">
        <w:rPr>
          <w:i/>
        </w:rPr>
        <w:t xml:space="preserve"> </w:t>
      </w:r>
      <w:proofErr w:type="spellStart"/>
      <w:r w:rsidRPr="003B3653">
        <w:rPr>
          <w:i/>
        </w:rPr>
        <w:t>Trade</w:t>
      </w:r>
      <w:proofErr w:type="spellEnd"/>
      <w:r w:rsidR="00AA6207">
        <w:rPr>
          <w:i/>
        </w:rPr>
        <w:t xml:space="preserve"> </w:t>
      </w:r>
      <w:proofErr w:type="spellStart"/>
      <w:r w:rsidRPr="003B3653">
        <w:rPr>
          <w:i/>
        </w:rPr>
        <w:t>Area</w:t>
      </w:r>
      <w:proofErr w:type="spellEnd"/>
      <w:r>
        <w:t xml:space="preserve"> - DCFTA). DCFTA paredz atvieglot preču plūsmu starp ES un attiecīgajām valstīm, kā arī pakāpenisku Gruzijas, Moldovas un Ukrainas pielāgošanos ES kopējiem ražojumu tehniskajiem standartiem. No vienas puses</w:t>
      </w:r>
      <w:r w:rsidR="001C7777">
        <w:t>,</w:t>
      </w:r>
      <w:r>
        <w:t xml:space="preserve"> pielāgošanas process neizbēgami saistās ar papildus izdevumiem, bet ilgtermiņā nodrošina ES standartiem atbilstošu produkciju un apkalpojumus, kurus iespējams izplatīt tirgos arī ārpus ES. </w:t>
      </w:r>
    </w:p>
    <w:p w:rsidR="00B077F3" w:rsidRDefault="00B077F3" w:rsidP="00B077F3">
      <w:pPr>
        <w:spacing w:before="120" w:after="120"/>
        <w:jc w:val="both"/>
      </w:pPr>
      <w:r>
        <w:t xml:space="preserve">Asociācijas līgumu parakstīšana un tajos ietvertās DCFTA ieviešana jau izraisījusi Krievijas pretreakciju, Krievijai uzskatot, ka šādas brīvās tirdzniecības zonas izveide nav savietojama ar Neatkarīgo Valstu Sadraudzības un valstu savstarpējiem tirdzniecības līgumiem. Krievijas iebildumi viskrasākie bijušu tieši Ukrainas gadījumā un, iespējams, tieši tie kalpojuši par iemeslu ES – Ukrainas DCFTA ieviešanas atlikšanai līdz 2015. gada 31. decembrim. </w:t>
      </w:r>
    </w:p>
    <w:p w:rsidR="00B077F3" w:rsidRDefault="00B077F3" w:rsidP="00B077F3">
      <w:pPr>
        <w:spacing w:before="120" w:after="120"/>
        <w:jc w:val="both"/>
      </w:pPr>
      <w:r>
        <w:t xml:space="preserve">2014. gada rudens Eiropas Savienībā bija nozīmīgs ar personāliju maiņu svarīgākajās organizācijas institūcijās. Jau vasarā uz pirmo sēdi sanāca jaunievēlētais Eiropas Parlaments, bet 1. novembrī darbu uzsāka jaunais Žana Kloda </w:t>
      </w:r>
      <w:proofErr w:type="spellStart"/>
      <w:r>
        <w:t>Junkera</w:t>
      </w:r>
      <w:proofErr w:type="spellEnd"/>
      <w:r w:rsidR="00BD3B5F">
        <w:t xml:space="preserve"> (</w:t>
      </w:r>
      <w:proofErr w:type="spellStart"/>
      <w:r w:rsidR="00BD3B5F">
        <w:t>Jean-Claude</w:t>
      </w:r>
      <w:proofErr w:type="spellEnd"/>
      <w:r w:rsidR="00D249AB">
        <w:t xml:space="preserve"> </w:t>
      </w:r>
      <w:proofErr w:type="spellStart"/>
      <w:r w:rsidR="00BD3B5F">
        <w:t>Juncker</w:t>
      </w:r>
      <w:proofErr w:type="spellEnd"/>
      <w:r w:rsidR="00BD3B5F">
        <w:t xml:space="preserve">) </w:t>
      </w:r>
      <w:r>
        <w:t xml:space="preserve">vadītais Eiropas Komisijas sastāvs. Līdz ar jaunās Komisijas apstiprināšanu, savu darbu uzsāka arī otrā Eiropas Savienības Augstā pārstāve ārlietās un drošības politikas jautājumos </w:t>
      </w:r>
      <w:r w:rsidR="00BD3B5F">
        <w:t xml:space="preserve">Frederika </w:t>
      </w:r>
      <w:proofErr w:type="spellStart"/>
      <w:r w:rsidR="00BD3B5F">
        <w:t>Mogerīni</w:t>
      </w:r>
      <w:proofErr w:type="spellEnd"/>
      <w:r w:rsidR="00BD3B5F">
        <w:t xml:space="preserve"> (</w:t>
      </w:r>
      <w:proofErr w:type="spellStart"/>
      <w:r>
        <w:t>Federica</w:t>
      </w:r>
      <w:proofErr w:type="spellEnd"/>
      <w:r w:rsidR="00D249AB">
        <w:t xml:space="preserve"> </w:t>
      </w:r>
      <w:proofErr w:type="spellStart"/>
      <w:r>
        <w:t>Mogherini</w:t>
      </w:r>
      <w:proofErr w:type="spellEnd"/>
      <w:r w:rsidR="00BD3B5F">
        <w:t>)</w:t>
      </w:r>
      <w:r>
        <w:t xml:space="preserve"> un komisārs Eiropas kaimiņattiecību politikas un paplašināšanās sarunu jautājumos </w:t>
      </w:r>
      <w:proofErr w:type="spellStart"/>
      <w:r w:rsidR="004B4AED">
        <w:t>JohannessHāns</w:t>
      </w:r>
      <w:proofErr w:type="spellEnd"/>
      <w:r w:rsidR="004B4AED">
        <w:t xml:space="preserve"> (</w:t>
      </w:r>
      <w:proofErr w:type="spellStart"/>
      <w:r>
        <w:t>Johannes</w:t>
      </w:r>
      <w:proofErr w:type="spellEnd"/>
      <w:r w:rsidR="00D249AB">
        <w:t xml:space="preserve"> </w:t>
      </w:r>
      <w:proofErr w:type="spellStart"/>
      <w:r>
        <w:t>Hahn</w:t>
      </w:r>
      <w:proofErr w:type="spellEnd"/>
      <w:r w:rsidR="004B4AED">
        <w:t>)</w:t>
      </w:r>
      <w:r>
        <w:t>. F.</w:t>
      </w:r>
      <w:r w:rsidR="00D249AB">
        <w:t xml:space="preserve"> </w:t>
      </w:r>
      <w:proofErr w:type="spellStart"/>
      <w:r w:rsidR="004B4AED">
        <w:t>Mogerīni</w:t>
      </w:r>
      <w:proofErr w:type="spellEnd"/>
      <w:r>
        <w:t xml:space="preserve"> un J.</w:t>
      </w:r>
      <w:r w:rsidR="00D249AB">
        <w:t xml:space="preserve"> </w:t>
      </w:r>
      <w:proofErr w:type="spellStart"/>
      <w:r w:rsidR="004B4AED">
        <w:t>Hāns</w:t>
      </w:r>
      <w:proofErr w:type="spellEnd"/>
      <w:r>
        <w:t xml:space="preserve"> tuvākajos gados būs primārie atbildīgie par Eiropas Savienības Austrumu partnerības jautājumiem.</w:t>
      </w:r>
    </w:p>
    <w:p w:rsidR="00B077F3" w:rsidRDefault="00B077F3" w:rsidP="00B077F3">
      <w:pPr>
        <w:spacing w:before="120" w:after="120"/>
        <w:jc w:val="both"/>
      </w:pPr>
      <w:r>
        <w:lastRenderedPageBreak/>
        <w:t>Vēlēšanas un ar tām saistītās personāliju izmaiņas valsts augstākajos amatos notika arī Austrumu partnerības programmas valstīs. 26. oktobrī pie vēlēšanu urnām devās Ukrainas iedzīvotāji, bet 30. novembrī savu izvēli izdarīja Moldovas pilsoņi. Abās vēlēšanās uzvaru guva politiskie spēki, kas atbalsta Ukrainas un Moldovas tuvināšanos Eiropas Savienībai. Šāds sabiedrības izteiktais atbalsts sniedz pozitīvu impulsu valstīm turpināt sadarbību ar ES un kalpo par apliecinājumu nepieciešamībai turpināt ES Austrumu Partnerības tālāku attīstību.</w:t>
      </w:r>
    </w:p>
    <w:p w:rsidR="00A967A6" w:rsidRPr="00520679" w:rsidRDefault="00A967A6" w:rsidP="00B077F3"/>
    <w:p w:rsidR="00A967A6" w:rsidRDefault="00A967A6" w:rsidP="00A967A6">
      <w:pPr>
        <w:pStyle w:val="Heading2"/>
      </w:pPr>
      <w:r>
        <w:t xml:space="preserve">Iesakām izlasīt: </w:t>
      </w:r>
      <w:r>
        <w:br/>
      </w:r>
    </w:p>
    <w:p w:rsidR="001C7777" w:rsidRDefault="00B077F3" w:rsidP="001C7777">
      <w:pPr>
        <w:pStyle w:val="ListParagraph"/>
        <w:numPr>
          <w:ilvl w:val="0"/>
          <w:numId w:val="6"/>
        </w:numPr>
        <w:jc w:val="both"/>
      </w:pPr>
      <w:r>
        <w:t>Jau trešo gadu tiek apkopots ES Austrumu partnerības indekss, kurā vairā</w:t>
      </w:r>
      <w:r w:rsidR="004B4AED">
        <w:t>ku valstu eksperti analizē</w:t>
      </w:r>
      <w:r>
        <w:t xml:space="preserve"> sešu Austrumu Partnerības valstu progresu un tuvināšanos ES. Pirmie 2014. gada rezultāti jau tika prezentēti 20.-21. novembrī Austrumu Partnerības Pilsoniskās sabiedrības Foruma sanāksmē Batumi, Gruzijā. Ar iepriekšējo gadu rezu</w:t>
      </w:r>
      <w:r w:rsidR="004B4AED">
        <w:t>ltātiem</w:t>
      </w:r>
      <w:r>
        <w:t xml:space="preserve"> iespējams iepazīties šeit: </w:t>
      </w:r>
    </w:p>
    <w:p w:rsidR="001C7777" w:rsidRPr="001C7777" w:rsidRDefault="006C1A6E" w:rsidP="001C7777">
      <w:pPr>
        <w:pStyle w:val="ListParagraph"/>
        <w:jc w:val="both"/>
        <w:rPr>
          <w:rStyle w:val="Hyperlink"/>
          <w:color w:val="auto"/>
          <w:u w:val="none"/>
        </w:rPr>
      </w:pPr>
      <w:hyperlink r:id="rId8" w:history="1">
        <w:r w:rsidR="00B077F3" w:rsidRPr="00124923">
          <w:rPr>
            <w:rStyle w:val="Hyperlink"/>
          </w:rPr>
          <w:t>http://www.eap-index.eu/</w:t>
        </w:r>
      </w:hyperlink>
    </w:p>
    <w:p w:rsidR="001C7777" w:rsidRDefault="001C7777" w:rsidP="001C7777">
      <w:pPr>
        <w:pStyle w:val="ListParagraph"/>
        <w:jc w:val="both"/>
      </w:pPr>
    </w:p>
    <w:p w:rsidR="001C7777" w:rsidRDefault="00B077F3" w:rsidP="001C7777">
      <w:pPr>
        <w:pStyle w:val="ListParagraph"/>
        <w:numPr>
          <w:ilvl w:val="0"/>
          <w:numId w:val="6"/>
        </w:numPr>
        <w:jc w:val="both"/>
      </w:pPr>
      <w:r>
        <w:t>Eirāzijas Ekonomiskā savienība tiek minēta kā alternatīva integrācijai</w:t>
      </w:r>
      <w:r w:rsidR="004B4AED">
        <w:t>,</w:t>
      </w:r>
      <w:r>
        <w:t xml:space="preserve"> ko piedāvā Eiropas Savienība un tās Austrumu Partnerības programma. </w:t>
      </w:r>
      <w:proofErr w:type="spellStart"/>
      <w:r w:rsidRPr="001C7777">
        <w:rPr>
          <w:i/>
        </w:rPr>
        <w:t>Finnish</w:t>
      </w:r>
      <w:proofErr w:type="spellEnd"/>
      <w:r w:rsidR="00D249AB">
        <w:rPr>
          <w:i/>
        </w:rPr>
        <w:t xml:space="preserve"> </w:t>
      </w:r>
      <w:proofErr w:type="spellStart"/>
      <w:r w:rsidRPr="001C7777">
        <w:rPr>
          <w:i/>
        </w:rPr>
        <w:t>Intitute</w:t>
      </w:r>
      <w:proofErr w:type="spellEnd"/>
      <w:r w:rsidR="00D249AB">
        <w:rPr>
          <w:i/>
        </w:rPr>
        <w:t xml:space="preserve"> </w:t>
      </w:r>
      <w:proofErr w:type="spellStart"/>
      <w:r w:rsidRPr="001C7777">
        <w:rPr>
          <w:i/>
        </w:rPr>
        <w:t>of</w:t>
      </w:r>
      <w:proofErr w:type="spellEnd"/>
      <w:r w:rsidR="00D249AB">
        <w:rPr>
          <w:i/>
        </w:rPr>
        <w:t xml:space="preserve"> </w:t>
      </w:r>
      <w:proofErr w:type="spellStart"/>
      <w:r w:rsidRPr="001C7777">
        <w:rPr>
          <w:i/>
        </w:rPr>
        <w:t>International</w:t>
      </w:r>
      <w:proofErr w:type="spellEnd"/>
      <w:r w:rsidR="00D249AB">
        <w:rPr>
          <w:i/>
        </w:rPr>
        <w:t xml:space="preserve"> </w:t>
      </w:r>
      <w:proofErr w:type="spellStart"/>
      <w:r w:rsidRPr="001C7777">
        <w:rPr>
          <w:i/>
        </w:rPr>
        <w:t>Affairs</w:t>
      </w:r>
      <w:proofErr w:type="spellEnd"/>
      <w:r>
        <w:t xml:space="preserve"> pētījumā tiek detalizētāk analizēta Eirāzijas Ekon</w:t>
      </w:r>
      <w:r w:rsidR="004B4AED">
        <w:t>omiskā savienība, tās izveide,</w:t>
      </w:r>
      <w:r>
        <w:t xml:space="preserve"> tālākās darbības izaicinājumi un iespējas. Pētījums pieejams šeit: </w:t>
      </w:r>
    </w:p>
    <w:p w:rsidR="001C7777" w:rsidRPr="001C7777" w:rsidRDefault="006C1A6E" w:rsidP="001C7777">
      <w:pPr>
        <w:pStyle w:val="ListParagraph"/>
        <w:jc w:val="both"/>
        <w:rPr>
          <w:rStyle w:val="Hyperlink"/>
          <w:color w:val="auto"/>
          <w:u w:val="none"/>
        </w:rPr>
      </w:pPr>
      <w:hyperlink r:id="rId9" w:history="1">
        <w:r w:rsidR="00B077F3" w:rsidRPr="00124923">
          <w:rPr>
            <w:rStyle w:val="Hyperlink"/>
          </w:rPr>
          <w:t>http://www.fiia.fi/assets/publications/a3.pdf</w:t>
        </w:r>
      </w:hyperlink>
    </w:p>
    <w:p w:rsidR="001C7777" w:rsidRDefault="001C7777" w:rsidP="001C7777">
      <w:pPr>
        <w:pStyle w:val="ListParagraph"/>
      </w:pPr>
    </w:p>
    <w:p w:rsidR="001C7777" w:rsidRPr="001C7777" w:rsidRDefault="004B4AED" w:rsidP="00B077F3">
      <w:pPr>
        <w:pStyle w:val="ListParagraph"/>
        <w:numPr>
          <w:ilvl w:val="0"/>
          <w:numId w:val="6"/>
        </w:numPr>
        <w:jc w:val="both"/>
        <w:rPr>
          <w:rStyle w:val="Hyperlink"/>
          <w:color w:val="auto"/>
          <w:u w:val="none"/>
        </w:rPr>
      </w:pPr>
      <w:r>
        <w:t>Ukrainas notikumi ir radījuš</w:t>
      </w:r>
      <w:r w:rsidR="00B077F3">
        <w:t xml:space="preserve">i virkni jautājumu par Eiropas Savienības ārpolitikas efektivitāti </w:t>
      </w:r>
      <w:r>
        <w:t>un skaļāk iezīmējuš</w:t>
      </w:r>
      <w:r w:rsidR="00B077F3">
        <w:t xml:space="preserve">i problēmas, ar kurām ES var saskarties arī turpmāk. Vairāki pētnieki no </w:t>
      </w:r>
      <w:proofErr w:type="spellStart"/>
      <w:r w:rsidR="00B077F3" w:rsidRPr="001C7777">
        <w:rPr>
          <w:i/>
        </w:rPr>
        <w:t>European</w:t>
      </w:r>
      <w:proofErr w:type="spellEnd"/>
      <w:r w:rsidR="00D249AB">
        <w:rPr>
          <w:i/>
        </w:rPr>
        <w:t xml:space="preserve"> </w:t>
      </w:r>
      <w:proofErr w:type="spellStart"/>
      <w:r w:rsidR="00B077F3" w:rsidRPr="001C7777">
        <w:rPr>
          <w:i/>
        </w:rPr>
        <w:t>Council</w:t>
      </w:r>
      <w:proofErr w:type="spellEnd"/>
      <w:r w:rsidR="00D249AB">
        <w:rPr>
          <w:i/>
        </w:rPr>
        <w:t xml:space="preserve"> </w:t>
      </w:r>
      <w:proofErr w:type="spellStart"/>
      <w:r w:rsidR="00B077F3" w:rsidRPr="001C7777">
        <w:rPr>
          <w:i/>
        </w:rPr>
        <w:t>on</w:t>
      </w:r>
      <w:proofErr w:type="spellEnd"/>
      <w:r w:rsidR="00D249AB">
        <w:rPr>
          <w:i/>
        </w:rPr>
        <w:t xml:space="preserve"> </w:t>
      </w:r>
      <w:proofErr w:type="spellStart"/>
      <w:r w:rsidR="00B077F3" w:rsidRPr="001C7777">
        <w:rPr>
          <w:i/>
        </w:rPr>
        <w:t>Foreign</w:t>
      </w:r>
      <w:proofErr w:type="spellEnd"/>
      <w:r w:rsidR="00D249AB">
        <w:rPr>
          <w:i/>
        </w:rPr>
        <w:t xml:space="preserve"> </w:t>
      </w:r>
      <w:proofErr w:type="spellStart"/>
      <w:r w:rsidR="00B077F3" w:rsidRPr="001C7777">
        <w:rPr>
          <w:i/>
        </w:rPr>
        <w:t>Relations</w:t>
      </w:r>
      <w:proofErr w:type="spellEnd"/>
      <w:r w:rsidR="00B077F3">
        <w:t xml:space="preserve"> ir veikuši pētījumu par to</w:t>
      </w:r>
      <w:r>
        <w:t>,</w:t>
      </w:r>
      <w:r w:rsidR="00B077F3">
        <w:t xml:space="preserve"> kādas izmaiņas būtu jāveic ES kopējā ārpolitikā, lai uzlabotu organizācijas un tās dalībvalstu lomu reģionālajos un globālajos procesos. Analīze atrodama šeit: </w:t>
      </w:r>
      <w:hyperlink r:id="rId10" w:history="1">
        <w:r w:rsidR="00B077F3" w:rsidRPr="00124923">
          <w:rPr>
            <w:rStyle w:val="Hyperlink"/>
          </w:rPr>
          <w:t>http://www.ecfr.eu/page/-/ECFR114_EU_BRIEF_SinglePages_(1).pdf</w:t>
        </w:r>
      </w:hyperlink>
    </w:p>
    <w:p w:rsidR="001C7777" w:rsidRDefault="001C7777" w:rsidP="001C7777">
      <w:pPr>
        <w:pStyle w:val="ListParagraph"/>
      </w:pPr>
    </w:p>
    <w:p w:rsidR="00B077F3" w:rsidRDefault="00B077F3" w:rsidP="00D249AB">
      <w:pPr>
        <w:pStyle w:val="ListParagraph"/>
        <w:numPr>
          <w:ilvl w:val="0"/>
          <w:numId w:val="6"/>
        </w:numPr>
        <w:jc w:val="both"/>
      </w:pPr>
      <w:r w:rsidRPr="00D249AB">
        <w:t>Ukrainas tālākajā attīstītībā</w:t>
      </w:r>
      <w:r w:rsidR="004B4AED" w:rsidRPr="00D249AB">
        <w:t xml:space="preserve"> un sadarbībā ar ES un Krieviju</w:t>
      </w:r>
      <w:r w:rsidRPr="00D249AB">
        <w:t xml:space="preserve"> ļoti svarīgs </w:t>
      </w:r>
      <w:r w:rsidR="004B4AED" w:rsidRPr="00D249AB">
        <w:t>ir</w:t>
      </w:r>
      <w:r w:rsidR="00A3659C">
        <w:t xml:space="preserve"> </w:t>
      </w:r>
      <w:r w:rsidRPr="00D249AB">
        <w:t xml:space="preserve">jautājums par situāciju Ukrainas Austrumos. Konflikts pašlaik ir viens no redzamākajiem jautājumiem Ukrainas, Krievijas un ES savstarpējās attiecībās, līdz ar to konflikta tālākā attīstība varētu radīt izmaiņas šo trīs spēlētāju savstarpējās attiecībās. </w:t>
      </w:r>
      <w:proofErr w:type="spellStart"/>
      <w:r w:rsidR="00D249AB" w:rsidRPr="00D249AB">
        <w:t>Endrjū</w:t>
      </w:r>
      <w:proofErr w:type="spellEnd"/>
      <w:r w:rsidR="00D249AB" w:rsidRPr="00D249AB">
        <w:t xml:space="preserve"> Vilsons (</w:t>
      </w:r>
      <w:proofErr w:type="spellStart"/>
      <w:r w:rsidRPr="00D249AB">
        <w:t>Andrew</w:t>
      </w:r>
      <w:proofErr w:type="spellEnd"/>
      <w:r w:rsidR="00D249AB" w:rsidRPr="00D249AB">
        <w:t xml:space="preserve"> </w:t>
      </w:r>
      <w:proofErr w:type="spellStart"/>
      <w:r w:rsidRPr="00D249AB">
        <w:t>Wilson</w:t>
      </w:r>
      <w:proofErr w:type="spellEnd"/>
      <w:r w:rsidR="00D249AB" w:rsidRPr="00D249AB">
        <w:t>)</w:t>
      </w:r>
      <w:r w:rsidRPr="00D249AB">
        <w:t xml:space="preserve"> un</w:t>
      </w:r>
      <w:r w:rsidR="00D249AB" w:rsidRPr="00D249AB">
        <w:t xml:space="preserve"> Kadrija Līka</w:t>
      </w:r>
      <w:r w:rsidRPr="00D249AB">
        <w:t xml:space="preserve"> </w:t>
      </w:r>
      <w:r w:rsidR="00D249AB" w:rsidRPr="00D249AB">
        <w:t>(</w:t>
      </w:r>
      <w:r w:rsidRPr="00D249AB">
        <w:t xml:space="preserve">Kadri </w:t>
      </w:r>
      <w:proofErr w:type="spellStart"/>
      <w:r w:rsidRPr="00D249AB">
        <w:t>Liik</w:t>
      </w:r>
      <w:proofErr w:type="spellEnd"/>
      <w:r w:rsidR="00D249AB" w:rsidRPr="00D249AB">
        <w:t>)</w:t>
      </w:r>
      <w:r w:rsidRPr="00D249AB">
        <w:t xml:space="preserve"> savā publikācijā analizē, kā varētu attīstīties situācija Ukrainas Austrumos un kāda varētu būt ES loma</w:t>
      </w:r>
      <w:r w:rsidR="00D249AB">
        <w:t xml:space="preserve"> </w:t>
      </w:r>
      <w:r w:rsidRPr="00D249AB">
        <w:t>regulējuma panākšanā. Pētījums pieejams šeit:</w:t>
      </w:r>
      <w:r w:rsidR="001C7777">
        <w:br/>
      </w:r>
      <w:hyperlink r:id="rId11" w:history="1">
        <w:r w:rsidRPr="00124923">
          <w:rPr>
            <w:rStyle w:val="Hyperlink"/>
          </w:rPr>
          <w:t>http://www.ecfr.eu/page/-/What_Will_Happen_to_Eastern_Ukraine.pdf</w:t>
        </w:r>
      </w:hyperlink>
    </w:p>
    <w:p w:rsidR="001C7777" w:rsidRDefault="001C7777" w:rsidP="001C7777">
      <w:pPr>
        <w:pStyle w:val="ListParagraph"/>
      </w:pPr>
    </w:p>
    <w:p w:rsidR="00B077F3" w:rsidRDefault="00B077F3" w:rsidP="004B4AED">
      <w:pPr>
        <w:pStyle w:val="ListParagraph"/>
        <w:numPr>
          <w:ilvl w:val="0"/>
          <w:numId w:val="6"/>
        </w:numPr>
      </w:pPr>
      <w:r>
        <w:t xml:space="preserve">Rīgā bāzētais NATO Izcilības Centrs Stratēģiskās komunikācijas jautājumos publicējis uz vairākiem pētījumiem balstītu ziņojumu par Krievijas informācijas kampaņām Ukrainā. Pētījums sniedz ieskatu, kā 2014. gada </w:t>
      </w:r>
      <w:r w:rsidR="004B4AED">
        <w:t>pirmajos trīs mēnešos</w:t>
      </w:r>
      <w:r>
        <w:t xml:space="preserve"> Krievija ir veikusi mērķtiecīgu mediju kampaņu pret Ukrainu un noteiktām tās iedzīvotāju </w:t>
      </w:r>
      <w:r>
        <w:lastRenderedPageBreak/>
        <w:t>grupām. Ziņojuma secinājumi ir noderīgi arī citu Austrumu partnerības valstu gadījumā. Ziņojums pieejams šeit:</w:t>
      </w:r>
      <w:bookmarkStart w:id="0" w:name="_GoBack"/>
      <w:bookmarkEnd w:id="0"/>
      <w:r w:rsidR="004B4AED">
        <w:br/>
      </w:r>
      <w:hyperlink r:id="rId12" w:history="1">
        <w:r w:rsidRPr="00124923">
          <w:rPr>
            <w:rStyle w:val="Hyperlink"/>
          </w:rPr>
          <w:t>http://www.stratcomcoe.org/~/media/SCCE/NATO_PETIJUMS_PUBLISKS_29_10.ashx</w:t>
        </w:r>
      </w:hyperlink>
      <w:r w:rsidR="001C7777">
        <w:rPr>
          <w:rStyle w:val="Hyperlink"/>
        </w:rPr>
        <w:br/>
      </w:r>
    </w:p>
    <w:p w:rsidR="001C7777" w:rsidRDefault="00B077F3" w:rsidP="004B4AED">
      <w:pPr>
        <w:pStyle w:val="ListParagraph"/>
        <w:numPr>
          <w:ilvl w:val="0"/>
          <w:numId w:val="6"/>
        </w:numPr>
      </w:pPr>
      <w:r>
        <w:t xml:space="preserve">2014. gada 29. oktobrī </w:t>
      </w:r>
      <w:proofErr w:type="spellStart"/>
      <w:r w:rsidR="006022AC" w:rsidRPr="006022AC">
        <w:rPr>
          <w:i/>
        </w:rPr>
        <w:t>The</w:t>
      </w:r>
      <w:proofErr w:type="spellEnd"/>
      <w:r w:rsidR="006022AC" w:rsidRPr="006022AC">
        <w:rPr>
          <w:i/>
        </w:rPr>
        <w:t xml:space="preserve"> </w:t>
      </w:r>
      <w:proofErr w:type="spellStart"/>
      <w:r w:rsidR="006022AC" w:rsidRPr="006022AC">
        <w:rPr>
          <w:i/>
        </w:rPr>
        <w:t>Brookings</w:t>
      </w:r>
      <w:proofErr w:type="spellEnd"/>
      <w:r w:rsidR="006022AC" w:rsidRPr="006022AC">
        <w:rPr>
          <w:i/>
        </w:rPr>
        <w:t xml:space="preserve"> </w:t>
      </w:r>
      <w:proofErr w:type="spellStart"/>
      <w:r w:rsidR="006022AC" w:rsidRPr="006022AC">
        <w:rPr>
          <w:i/>
        </w:rPr>
        <w:t>Institution</w:t>
      </w:r>
      <w:proofErr w:type="spellEnd"/>
      <w:r w:rsidR="006022AC">
        <w:rPr>
          <w:i/>
        </w:rPr>
        <w:t xml:space="preserve"> </w:t>
      </w:r>
      <w:r>
        <w:t xml:space="preserve">Vašingtonā rīkoja semināru „Jaunākais Ukrainā: vēlēšanas, konflikts un ES Austrumu partnerības nākotne”. </w:t>
      </w:r>
      <w:r w:rsidR="004B4AED">
        <w:t>I</w:t>
      </w:r>
      <w:r>
        <w:t xml:space="preserve">r </w:t>
      </w:r>
      <w:r w:rsidR="004B4AED">
        <w:t>pieejama</w:t>
      </w:r>
      <w:r>
        <w:t xml:space="preserve"> semināra stenogramma. </w:t>
      </w:r>
      <w:r w:rsidR="001C7777">
        <w:br/>
      </w:r>
      <w:hyperlink r:id="rId13" w:history="1">
        <w:r w:rsidRPr="0031041E">
          <w:rPr>
            <w:rStyle w:val="Hyperlink"/>
          </w:rPr>
          <w:t>http://www.brookings.edu/~/media/events/2014/10/29%20ukraine/20141029_ukraine_transcript.pdf</w:t>
        </w:r>
      </w:hyperlink>
    </w:p>
    <w:p w:rsidR="001C7777" w:rsidRDefault="001C7777" w:rsidP="001C7777">
      <w:pPr>
        <w:pStyle w:val="ListParagraph"/>
      </w:pPr>
    </w:p>
    <w:p w:rsidR="00B077F3" w:rsidRDefault="00B077F3" w:rsidP="001C7777">
      <w:pPr>
        <w:pStyle w:val="ListParagraph"/>
        <w:numPr>
          <w:ilvl w:val="0"/>
          <w:numId w:val="6"/>
        </w:numPr>
      </w:pPr>
      <w:r>
        <w:t xml:space="preserve">Interesi var raisīt </w:t>
      </w:r>
      <w:r w:rsidR="001C7777">
        <w:t xml:space="preserve">arī </w:t>
      </w:r>
      <w:r>
        <w:t>materiāls par Baltkrievijas pozīciju Austrumu partnerības jautājumā sakarā ar militāro konfliktu Ukrainā.</w:t>
      </w:r>
      <w:r w:rsidR="001C7777">
        <w:br/>
      </w:r>
      <w:hyperlink r:id="rId14" w:history="1">
        <w:r w:rsidRPr="0031041E">
          <w:rPr>
            <w:rStyle w:val="Hyperlink"/>
          </w:rPr>
          <w:t>http://www.ctv.by/en/belarus-wants-to-reconsider-eastern-partnership-initiative-in-view-of-ukraine-crisis</w:t>
        </w:r>
      </w:hyperlink>
    </w:p>
    <w:p w:rsidR="00B077F3" w:rsidRDefault="00B077F3" w:rsidP="00B077F3">
      <w:pPr>
        <w:jc w:val="both"/>
      </w:pPr>
    </w:p>
    <w:p w:rsidR="00B077F3" w:rsidRDefault="00B077F3" w:rsidP="00B077F3">
      <w:pPr>
        <w:jc w:val="both"/>
      </w:pPr>
    </w:p>
    <w:p w:rsidR="00B077F3" w:rsidRPr="00B077F3" w:rsidRDefault="00B077F3" w:rsidP="00B077F3"/>
    <w:sectPr w:rsidR="00B077F3" w:rsidRPr="00B077F3" w:rsidSect="00656F78">
      <w:headerReference w:type="even" r:id="rId15"/>
      <w:headerReference w:type="default" r:id="rId16"/>
      <w:footerReference w:type="default" r:id="rId17"/>
      <w:headerReference w:type="first" r:id="rId18"/>
      <w:pgSz w:w="11906" w:h="16838"/>
      <w:pgMar w:top="1440" w:right="1800" w:bottom="1440" w:left="1800" w:header="5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206" w:rsidRDefault="00853206" w:rsidP="00237568">
      <w:pPr>
        <w:spacing w:after="0" w:line="240" w:lineRule="auto"/>
      </w:pPr>
      <w:r>
        <w:separator/>
      </w:r>
    </w:p>
  </w:endnote>
  <w:endnote w:type="continuationSeparator" w:id="1">
    <w:p w:rsidR="00853206" w:rsidRDefault="00853206" w:rsidP="00237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68" w:rsidRDefault="00132B77" w:rsidP="00832F2A">
    <w:pPr>
      <w:pStyle w:val="NoSpacing"/>
      <w:jc w:val="center"/>
    </w:pPr>
    <w:r>
      <w:rPr>
        <w:noProof/>
        <w:lang w:eastAsia="lv-LV"/>
      </w:rPr>
      <w:drawing>
        <wp:inline distT="0" distB="0" distL="0" distR="0">
          <wp:extent cx="4305901" cy="7621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ringam_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05901" cy="76210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206" w:rsidRDefault="00853206" w:rsidP="00237568">
      <w:pPr>
        <w:spacing w:after="0" w:line="240" w:lineRule="auto"/>
      </w:pPr>
      <w:r>
        <w:separator/>
      </w:r>
    </w:p>
  </w:footnote>
  <w:footnote w:type="continuationSeparator" w:id="1">
    <w:p w:rsidR="00853206" w:rsidRDefault="00853206" w:rsidP="00237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68" w:rsidRDefault="006C1A6E">
    <w:pPr>
      <w:pStyle w:val="Heade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4519" o:spid="_x0000_s2062" type="#_x0000_t75" style="position:absolute;margin-left:0;margin-top:0;width:1455pt;height:1158.75pt;z-index:-251657216;mso-position-horizontal:center;mso-position-horizontal-relative:margin;mso-position-vertical:center;mso-position-vertical-relative:margin" o:allowincell="f">
          <v:imagedata r:id="rId1" o:title="european-union-fla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68" w:rsidRPr="009E3C6E" w:rsidRDefault="006C1A6E" w:rsidP="00832F2A">
    <w:pPr>
      <w:pStyle w:val="Heading2"/>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4520" o:spid="_x0000_s2063" type="#_x0000_t75" style="position:absolute;left:0;text-align:left;margin-left:-415.55pt;margin-top:-252.8pt;width:1455pt;height:1158.75pt;z-index:-251656192;mso-position-horizontal-relative:margin;mso-position-vertical-relative:margin" o:allowincell="f">
          <v:imagedata r:id="rId1" o:title="european-union-flag"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68" w:rsidRDefault="006C1A6E">
    <w:pPr>
      <w:pStyle w:val="Heade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4518" o:spid="_x0000_s2061" type="#_x0000_t75" style="position:absolute;margin-left:0;margin-top:0;width:1455pt;height:1158.75pt;z-index:-251658240;mso-position-horizontal:center;mso-position-horizontal-relative:margin;mso-position-vertical:center;mso-position-vertical-relative:margin" o:allowincell="f">
          <v:imagedata r:id="rId1" o:title="european-union-fla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B43"/>
    <w:multiLevelType w:val="hybridMultilevel"/>
    <w:tmpl w:val="0944EABE"/>
    <w:lvl w:ilvl="0" w:tplc="C56A132E">
      <w:start w:val="201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A0A2559"/>
    <w:multiLevelType w:val="hybridMultilevel"/>
    <w:tmpl w:val="4EC8DBCC"/>
    <w:lvl w:ilvl="0" w:tplc="5D586B36">
      <w:start w:val="1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CD62FE3"/>
    <w:multiLevelType w:val="hybridMultilevel"/>
    <w:tmpl w:val="B5A86F14"/>
    <w:lvl w:ilvl="0" w:tplc="33CEEAD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630674A"/>
    <w:multiLevelType w:val="hybridMultilevel"/>
    <w:tmpl w:val="7A7A13BC"/>
    <w:lvl w:ilvl="0" w:tplc="E080431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ED674F3"/>
    <w:multiLevelType w:val="hybridMultilevel"/>
    <w:tmpl w:val="5C9C6194"/>
    <w:lvl w:ilvl="0" w:tplc="99BE87B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70C5183"/>
    <w:multiLevelType w:val="hybridMultilevel"/>
    <w:tmpl w:val="F0F6A346"/>
    <w:lvl w:ilvl="0" w:tplc="C69619B8">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hdrShapeDefaults>
    <o:shapedefaults v:ext="edit" spidmax="2064"/>
    <o:shapelayout v:ext="edit">
      <o:idmap v:ext="edit" data="2"/>
    </o:shapelayout>
  </w:hdrShapeDefaults>
  <w:footnotePr>
    <w:footnote w:id="0"/>
    <w:footnote w:id="1"/>
  </w:footnotePr>
  <w:endnotePr>
    <w:endnote w:id="0"/>
    <w:endnote w:id="1"/>
  </w:endnotePr>
  <w:compat/>
  <w:rsids>
    <w:rsidRoot w:val="00237568"/>
    <w:rsid w:val="000342FD"/>
    <w:rsid w:val="00042BC8"/>
    <w:rsid w:val="000509CD"/>
    <w:rsid w:val="000B1844"/>
    <w:rsid w:val="000F1028"/>
    <w:rsid w:val="00132B77"/>
    <w:rsid w:val="0013552C"/>
    <w:rsid w:val="00136A85"/>
    <w:rsid w:val="001704C3"/>
    <w:rsid w:val="00173B0F"/>
    <w:rsid w:val="0019351C"/>
    <w:rsid w:val="001B4C83"/>
    <w:rsid w:val="001C7777"/>
    <w:rsid w:val="001E60E1"/>
    <w:rsid w:val="00237568"/>
    <w:rsid w:val="00254644"/>
    <w:rsid w:val="00261BBB"/>
    <w:rsid w:val="00291B28"/>
    <w:rsid w:val="002B2A0D"/>
    <w:rsid w:val="003062C4"/>
    <w:rsid w:val="0033024F"/>
    <w:rsid w:val="00382382"/>
    <w:rsid w:val="003B0E5B"/>
    <w:rsid w:val="003F6B51"/>
    <w:rsid w:val="00466B48"/>
    <w:rsid w:val="004B163F"/>
    <w:rsid w:val="004B4AED"/>
    <w:rsid w:val="00520679"/>
    <w:rsid w:val="00520E5B"/>
    <w:rsid w:val="00536D09"/>
    <w:rsid w:val="0055022B"/>
    <w:rsid w:val="00552C69"/>
    <w:rsid w:val="00570C1D"/>
    <w:rsid w:val="00583D98"/>
    <w:rsid w:val="005C12BF"/>
    <w:rsid w:val="005F5C6C"/>
    <w:rsid w:val="006022AC"/>
    <w:rsid w:val="00603410"/>
    <w:rsid w:val="006325F6"/>
    <w:rsid w:val="00636AF1"/>
    <w:rsid w:val="006460A5"/>
    <w:rsid w:val="00656F78"/>
    <w:rsid w:val="0067381B"/>
    <w:rsid w:val="006A615C"/>
    <w:rsid w:val="006A78C7"/>
    <w:rsid w:val="006C1A6E"/>
    <w:rsid w:val="006D3816"/>
    <w:rsid w:val="007026CE"/>
    <w:rsid w:val="0072030D"/>
    <w:rsid w:val="007A39A2"/>
    <w:rsid w:val="007E27CE"/>
    <w:rsid w:val="007E36DD"/>
    <w:rsid w:val="0082759E"/>
    <w:rsid w:val="00832F2A"/>
    <w:rsid w:val="00841ED4"/>
    <w:rsid w:val="00853206"/>
    <w:rsid w:val="00875677"/>
    <w:rsid w:val="00895315"/>
    <w:rsid w:val="008C640C"/>
    <w:rsid w:val="008D5F15"/>
    <w:rsid w:val="008D6B11"/>
    <w:rsid w:val="0091303F"/>
    <w:rsid w:val="00930933"/>
    <w:rsid w:val="009473BC"/>
    <w:rsid w:val="00961CD0"/>
    <w:rsid w:val="00986401"/>
    <w:rsid w:val="009872C2"/>
    <w:rsid w:val="00996346"/>
    <w:rsid w:val="009B401F"/>
    <w:rsid w:val="009D3EAD"/>
    <w:rsid w:val="009E3C6E"/>
    <w:rsid w:val="00A309A0"/>
    <w:rsid w:val="00A341FC"/>
    <w:rsid w:val="00A3659C"/>
    <w:rsid w:val="00A446C3"/>
    <w:rsid w:val="00A7439F"/>
    <w:rsid w:val="00A77ACE"/>
    <w:rsid w:val="00A967A6"/>
    <w:rsid w:val="00AA4408"/>
    <w:rsid w:val="00AA6207"/>
    <w:rsid w:val="00AB0280"/>
    <w:rsid w:val="00B077F3"/>
    <w:rsid w:val="00B4379B"/>
    <w:rsid w:val="00B47626"/>
    <w:rsid w:val="00BD3B5F"/>
    <w:rsid w:val="00C02709"/>
    <w:rsid w:val="00C27008"/>
    <w:rsid w:val="00C30580"/>
    <w:rsid w:val="00C3404F"/>
    <w:rsid w:val="00C611F9"/>
    <w:rsid w:val="00C72FF1"/>
    <w:rsid w:val="00CA5750"/>
    <w:rsid w:val="00D249AB"/>
    <w:rsid w:val="00D333C5"/>
    <w:rsid w:val="00D501BB"/>
    <w:rsid w:val="00D70F45"/>
    <w:rsid w:val="00DB28FE"/>
    <w:rsid w:val="00DB7964"/>
    <w:rsid w:val="00E01904"/>
    <w:rsid w:val="00E218D4"/>
    <w:rsid w:val="00E401BC"/>
    <w:rsid w:val="00ED52D7"/>
    <w:rsid w:val="00F81DDD"/>
    <w:rsid w:val="00F871D3"/>
    <w:rsid w:val="00FB1FC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16"/>
  </w:style>
  <w:style w:type="paragraph" w:styleId="Heading1">
    <w:name w:val="heading 1"/>
    <w:basedOn w:val="Normal"/>
    <w:next w:val="Normal"/>
    <w:link w:val="Heading1Char"/>
    <w:uiPriority w:val="9"/>
    <w:qFormat/>
    <w:rsid w:val="00832F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52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2F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1844"/>
    <w:rPr>
      <w:b/>
      <w:bCs/>
    </w:rPr>
  </w:style>
  <w:style w:type="character" w:styleId="Emphasis">
    <w:name w:val="Emphasis"/>
    <w:basedOn w:val="DefaultParagraphFont"/>
    <w:uiPriority w:val="20"/>
    <w:qFormat/>
    <w:rsid w:val="000B1844"/>
    <w:rPr>
      <w:i/>
      <w:iCs/>
    </w:rPr>
  </w:style>
  <w:style w:type="paragraph" w:styleId="Header">
    <w:name w:val="header"/>
    <w:basedOn w:val="Normal"/>
    <w:link w:val="HeaderChar"/>
    <w:uiPriority w:val="99"/>
    <w:unhideWhenUsed/>
    <w:rsid w:val="002375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568"/>
  </w:style>
  <w:style w:type="paragraph" w:styleId="Footer">
    <w:name w:val="footer"/>
    <w:basedOn w:val="Normal"/>
    <w:link w:val="FooterChar"/>
    <w:uiPriority w:val="99"/>
    <w:unhideWhenUsed/>
    <w:rsid w:val="002375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568"/>
  </w:style>
  <w:style w:type="character" w:customStyle="1" w:styleId="Heading2Char">
    <w:name w:val="Heading 2 Char"/>
    <w:basedOn w:val="DefaultParagraphFont"/>
    <w:link w:val="Heading2"/>
    <w:uiPriority w:val="9"/>
    <w:rsid w:val="00ED52D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D5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2D7"/>
    <w:rPr>
      <w:rFonts w:ascii="Tahoma" w:hAnsi="Tahoma" w:cs="Tahoma"/>
      <w:sz w:val="16"/>
      <w:szCs w:val="16"/>
    </w:rPr>
  </w:style>
  <w:style w:type="paragraph" w:customStyle="1" w:styleId="A0E349F008B644AAB6A282E0D042D17E">
    <w:name w:val="A0E349F008B644AAB6A282E0D042D17E"/>
    <w:rsid w:val="00A446C3"/>
    <w:rPr>
      <w:rFonts w:eastAsiaTheme="minorEastAsia"/>
      <w:lang w:val="en-US" w:eastAsia="ja-JP"/>
    </w:rPr>
  </w:style>
  <w:style w:type="character" w:styleId="Hyperlink">
    <w:name w:val="Hyperlink"/>
    <w:basedOn w:val="DefaultParagraphFont"/>
    <w:uiPriority w:val="99"/>
    <w:unhideWhenUsed/>
    <w:rsid w:val="00A446C3"/>
    <w:rPr>
      <w:color w:val="0000FF" w:themeColor="hyperlink"/>
      <w:u w:val="single"/>
    </w:rPr>
  </w:style>
  <w:style w:type="character" w:customStyle="1" w:styleId="Heading3Char">
    <w:name w:val="Heading 3 Char"/>
    <w:basedOn w:val="DefaultParagraphFont"/>
    <w:link w:val="Heading3"/>
    <w:uiPriority w:val="9"/>
    <w:rsid w:val="00832F2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32F2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2F2A"/>
    <w:pPr>
      <w:spacing w:after="0" w:line="240" w:lineRule="auto"/>
    </w:pPr>
  </w:style>
  <w:style w:type="paragraph" w:styleId="NormalWeb">
    <w:name w:val="Normal (Web)"/>
    <w:basedOn w:val="Normal"/>
    <w:uiPriority w:val="99"/>
    <w:unhideWhenUsed/>
    <w:rsid w:val="006D38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ubtleEmphasis">
    <w:name w:val="Subtle Emphasis"/>
    <w:basedOn w:val="DefaultParagraphFont"/>
    <w:uiPriority w:val="19"/>
    <w:qFormat/>
    <w:rsid w:val="006D3816"/>
    <w:rPr>
      <w:i/>
      <w:iCs/>
      <w:color w:val="808080" w:themeColor="text1" w:themeTint="7F"/>
    </w:rPr>
  </w:style>
  <w:style w:type="paragraph" w:styleId="ListParagraph">
    <w:name w:val="List Paragraph"/>
    <w:basedOn w:val="Normal"/>
    <w:uiPriority w:val="34"/>
    <w:qFormat/>
    <w:rsid w:val="006A7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16"/>
  </w:style>
  <w:style w:type="paragraph" w:styleId="Heading1">
    <w:name w:val="heading 1"/>
    <w:basedOn w:val="Normal"/>
    <w:next w:val="Normal"/>
    <w:link w:val="Heading1Char"/>
    <w:uiPriority w:val="9"/>
    <w:qFormat/>
    <w:rsid w:val="00832F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52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2F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1844"/>
    <w:rPr>
      <w:b/>
      <w:bCs/>
    </w:rPr>
  </w:style>
  <w:style w:type="character" w:styleId="Emphasis">
    <w:name w:val="Emphasis"/>
    <w:basedOn w:val="DefaultParagraphFont"/>
    <w:uiPriority w:val="20"/>
    <w:qFormat/>
    <w:rsid w:val="000B1844"/>
    <w:rPr>
      <w:i/>
      <w:iCs/>
    </w:rPr>
  </w:style>
  <w:style w:type="paragraph" w:styleId="Header">
    <w:name w:val="header"/>
    <w:basedOn w:val="Normal"/>
    <w:link w:val="HeaderChar"/>
    <w:uiPriority w:val="99"/>
    <w:unhideWhenUsed/>
    <w:rsid w:val="002375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568"/>
  </w:style>
  <w:style w:type="paragraph" w:styleId="Footer">
    <w:name w:val="footer"/>
    <w:basedOn w:val="Normal"/>
    <w:link w:val="FooterChar"/>
    <w:uiPriority w:val="99"/>
    <w:unhideWhenUsed/>
    <w:rsid w:val="002375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568"/>
  </w:style>
  <w:style w:type="character" w:customStyle="1" w:styleId="Heading2Char">
    <w:name w:val="Heading 2 Char"/>
    <w:basedOn w:val="DefaultParagraphFont"/>
    <w:link w:val="Heading2"/>
    <w:uiPriority w:val="9"/>
    <w:rsid w:val="00ED52D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D5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2D7"/>
    <w:rPr>
      <w:rFonts w:ascii="Tahoma" w:hAnsi="Tahoma" w:cs="Tahoma"/>
      <w:sz w:val="16"/>
      <w:szCs w:val="16"/>
    </w:rPr>
  </w:style>
  <w:style w:type="paragraph" w:customStyle="1" w:styleId="A0E349F008B644AAB6A282E0D042D17E">
    <w:name w:val="A0E349F008B644AAB6A282E0D042D17E"/>
    <w:rsid w:val="00A446C3"/>
    <w:rPr>
      <w:rFonts w:eastAsiaTheme="minorEastAsia"/>
      <w:lang w:val="en-US" w:eastAsia="ja-JP"/>
    </w:rPr>
  </w:style>
  <w:style w:type="character" w:styleId="Hyperlink">
    <w:name w:val="Hyperlink"/>
    <w:basedOn w:val="DefaultParagraphFont"/>
    <w:uiPriority w:val="99"/>
    <w:unhideWhenUsed/>
    <w:rsid w:val="00A446C3"/>
    <w:rPr>
      <w:color w:val="0000FF" w:themeColor="hyperlink"/>
      <w:u w:val="single"/>
    </w:rPr>
  </w:style>
  <w:style w:type="character" w:customStyle="1" w:styleId="Heading3Char">
    <w:name w:val="Heading 3 Char"/>
    <w:basedOn w:val="DefaultParagraphFont"/>
    <w:link w:val="Heading3"/>
    <w:uiPriority w:val="9"/>
    <w:rsid w:val="00832F2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32F2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2F2A"/>
    <w:pPr>
      <w:spacing w:after="0" w:line="240" w:lineRule="auto"/>
    </w:pPr>
  </w:style>
  <w:style w:type="paragraph" w:styleId="NormalWeb">
    <w:name w:val="Normal (Web)"/>
    <w:basedOn w:val="Normal"/>
    <w:uiPriority w:val="99"/>
    <w:unhideWhenUsed/>
    <w:rsid w:val="006D38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ubtleEmphasis">
    <w:name w:val="Subtle Emphasis"/>
    <w:basedOn w:val="DefaultParagraphFont"/>
    <w:uiPriority w:val="19"/>
    <w:qFormat/>
    <w:rsid w:val="006D3816"/>
    <w:rPr>
      <w:i/>
      <w:iCs/>
      <w:color w:val="808080" w:themeColor="text1" w:themeTint="7F"/>
    </w:rPr>
  </w:style>
  <w:style w:type="paragraph" w:styleId="ListParagraph">
    <w:name w:val="List Paragraph"/>
    <w:basedOn w:val="Normal"/>
    <w:uiPriority w:val="34"/>
    <w:qFormat/>
    <w:rsid w:val="006A78C7"/>
    <w:pPr>
      <w:ind w:left="720"/>
      <w:contextualSpacing/>
    </w:pPr>
  </w:style>
</w:styles>
</file>

<file path=word/webSettings.xml><?xml version="1.0" encoding="utf-8"?>
<w:webSettings xmlns:r="http://schemas.openxmlformats.org/officeDocument/2006/relationships" xmlns:w="http://schemas.openxmlformats.org/wordprocessingml/2006/main">
  <w:divs>
    <w:div w:id="15764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p-index.eu/" TargetMode="External"/><Relationship Id="rId13" Type="http://schemas.openxmlformats.org/officeDocument/2006/relationships/hyperlink" Target="http://www.brookings.edu/~/media/events/2014/10/29%20ukraine/20141029_ukraine_transcript.pdf"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ratcomcoe.org/~/media/SCCE/NATO_PETIJUMS_PUBLISKS_29_10.ash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eu/page/-/What_Will_Happen_to_Eastern_Ukrain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cfr.eu/page/-/ECFR114_EU_BRIEF_SinglePages_(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ia.fi/assets/publications/a3.pdf" TargetMode="External"/><Relationship Id="rId14" Type="http://schemas.openxmlformats.org/officeDocument/2006/relationships/hyperlink" Target="http://www.ctv.by/en/belarus-wants-to-reconsider-eastern-partnership-initiative-in-view-of-ukraine-cri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620A-ED5F-4023-B24B-FA34F51B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4292</Words>
  <Characters>2447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User</cp:lastModifiedBy>
  <cp:revision>6</cp:revision>
  <cp:lastPrinted>2014-06-10T14:45:00Z</cp:lastPrinted>
  <dcterms:created xsi:type="dcterms:W3CDTF">2014-12-22T18:42:00Z</dcterms:created>
  <dcterms:modified xsi:type="dcterms:W3CDTF">2014-12-22T19:06:00Z</dcterms:modified>
</cp:coreProperties>
</file>